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城发天悦湾银行专场活动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城发天悦湾银行专场活动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singl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ascii="宋体" w:hAnsi="宋体" w:eastAsia="宋体" w:cs="宋体"/>
          <w:kern w:val="0"/>
          <w:sz w:val="24"/>
          <w:szCs w:val="24"/>
          <w:u w:val="single"/>
          <w:lang w:val="en-US" w:eastAsia="zh-CN" w:bidi="ar-SA"/>
        </w:rPr>
        <w:t>城发天悦湾银行专场活动</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jNjMTEyOWQ0YThhMDkwZjE5MmEzMjIwZWMyMTY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30820"/>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3D5638"/>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612F06"/>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035E6"/>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22417C"/>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2A633C"/>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character" w:customStyle="1" w:styleId="56">
    <w:name w:val="font41"/>
    <w:basedOn w:val="23"/>
    <w:uiPriority w:val="0"/>
    <w:rPr>
      <w:rFonts w:hint="eastAsia"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1</TotalTime>
  <ScaleCrop>false</ScaleCrop>
  <LinksUpToDate>false</LinksUpToDate>
  <CharactersWithSpaces>3406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parting</cp:lastModifiedBy>
  <cp:lastPrinted>2023-02-20T08:54:00Z</cp:lastPrinted>
  <dcterms:modified xsi:type="dcterms:W3CDTF">2023-11-15T01:53:50Z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18A6F9B0BEBA4BBFB19C176D9ECDC57D_13</vt:lpwstr>
  </property>
</Properties>
</file>